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902B" w14:textId="77777777" w:rsidR="00A16BEE" w:rsidRDefault="00A16BEE" w:rsidP="001C19BB">
      <w:pPr>
        <w:pStyle w:val="Title"/>
        <w:jc w:val="center"/>
      </w:pPr>
      <w:r>
        <w:t xml:space="preserve">EES </w:t>
      </w:r>
      <w:r w:rsidR="001D0D17">
        <w:t>Subscriber</w:t>
      </w:r>
      <w:r w:rsidR="001C19BB">
        <w:t xml:space="preserve"> Information</w:t>
      </w:r>
      <w:r>
        <w:t xml:space="preserve"> </w:t>
      </w:r>
    </w:p>
    <w:p w14:paraId="574E82E2" w14:textId="77777777" w:rsidR="001C19BB" w:rsidRPr="001C19BB" w:rsidRDefault="001C19BB" w:rsidP="001C19BB"/>
    <w:p w14:paraId="79FFF9F4" w14:textId="53F8B07C" w:rsidR="00A16BEE" w:rsidRDefault="001D0D17" w:rsidP="00A16BEE">
      <w:r>
        <w:t>As a new subscriber to the Enterprise Event S</w:t>
      </w:r>
      <w:r w:rsidR="00CD3632">
        <w:t>ystem</w:t>
      </w:r>
      <w:r>
        <w:t xml:space="preserve"> (EES), additional information is required by the </w:t>
      </w:r>
      <w:r w:rsidR="0036605D">
        <w:t>Enterprise Integration &amp; Services</w:t>
      </w:r>
      <w:r w:rsidR="00C44D2E">
        <w:t xml:space="preserve"> (</w:t>
      </w:r>
      <w:r w:rsidR="0036605D">
        <w:t>EI&amp;S</w:t>
      </w:r>
      <w:r w:rsidR="00C44D2E">
        <w:t>)</w:t>
      </w:r>
      <w:r>
        <w:t xml:space="preserve"> </w:t>
      </w:r>
      <w:r w:rsidR="0036605D">
        <w:t xml:space="preserve">group </w:t>
      </w:r>
      <w:r>
        <w:t xml:space="preserve">to </w:t>
      </w:r>
      <w:r w:rsidR="00C44D2E">
        <w:t xml:space="preserve">specifically </w:t>
      </w:r>
      <w:r>
        <w:t xml:space="preserve">tailor the </w:t>
      </w:r>
      <w:r w:rsidR="00C265F5">
        <w:t xml:space="preserve">EES </w:t>
      </w:r>
      <w:r>
        <w:t xml:space="preserve">subscription </w:t>
      </w:r>
      <w:r w:rsidR="00A2695F">
        <w:t>for</w:t>
      </w:r>
      <w:r w:rsidR="00C44D2E">
        <w:t xml:space="preserve"> </w:t>
      </w:r>
      <w:r>
        <w:t xml:space="preserve">your product.  </w:t>
      </w:r>
    </w:p>
    <w:p w14:paraId="6C250E62" w14:textId="77777777" w:rsidR="00E1070C" w:rsidRDefault="00E1070C" w:rsidP="00A16BEE"/>
    <w:tbl>
      <w:tblPr>
        <w:tblStyle w:val="GridTable5Dark-Accent1"/>
        <w:tblW w:w="9085" w:type="dxa"/>
        <w:tblLook w:val="04A0" w:firstRow="1" w:lastRow="0" w:firstColumn="1" w:lastColumn="0" w:noHBand="0" w:noVBand="1"/>
      </w:tblPr>
      <w:tblGrid>
        <w:gridCol w:w="727"/>
        <w:gridCol w:w="8358"/>
      </w:tblGrid>
      <w:tr w:rsidR="00E1070C" w14:paraId="36C419B2" w14:textId="77777777" w:rsidTr="00E10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" w:type="dxa"/>
          </w:tcPr>
          <w:p w14:paraId="64A5B278" w14:textId="77777777" w:rsidR="00E1070C" w:rsidRDefault="00E1070C" w:rsidP="00A16BEE">
            <w:r>
              <w:t xml:space="preserve">Note:  </w:t>
            </w:r>
          </w:p>
        </w:tc>
        <w:tc>
          <w:tcPr>
            <w:tcW w:w="8368" w:type="dxa"/>
            <w:shd w:val="clear" w:color="auto" w:fill="DEEAF6" w:themeFill="accent1" w:themeFillTint="33"/>
          </w:tcPr>
          <w:p w14:paraId="43BCA2F3" w14:textId="77777777" w:rsidR="00E1070C" w:rsidRPr="00E1070C" w:rsidRDefault="00E1070C" w:rsidP="00A16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1070C">
              <w:rPr>
                <w:color w:val="auto"/>
              </w:rPr>
              <w:t xml:space="preserve">EES is not a real time system.  It can be near real time based on some configuration. Other factors including the environment load, the timing of the publishers and delivery </w:t>
            </w:r>
            <w:r>
              <w:rPr>
                <w:color w:val="auto"/>
              </w:rPr>
              <w:t xml:space="preserve">also </w:t>
            </w:r>
            <w:r w:rsidRPr="00E1070C">
              <w:rPr>
                <w:color w:val="auto"/>
              </w:rPr>
              <w:t>impact the timing of events.</w:t>
            </w:r>
          </w:p>
        </w:tc>
      </w:tr>
    </w:tbl>
    <w:p w14:paraId="1C1A9E34" w14:textId="77777777" w:rsidR="00E1070C" w:rsidRDefault="00E1070C" w:rsidP="00A16BEE"/>
    <w:p w14:paraId="4433F0E1" w14:textId="77777777" w:rsidR="001D0D17" w:rsidRDefault="001D0D17" w:rsidP="001D0D17">
      <w:pPr>
        <w:pStyle w:val="Heading2"/>
      </w:pPr>
      <w:r>
        <w:t>Filters</w:t>
      </w:r>
    </w:p>
    <w:p w14:paraId="17ACC63A" w14:textId="77777777" w:rsidR="001D0D17" w:rsidRDefault="001D0D17" w:rsidP="001D0D17">
      <w:r>
        <w:t>EES has the ability to apply filters for subscribers.  Filters can be based on specific institutions, and/or specific events.  This can provide a limited set of events that the subscriber is only interested in receiving.</w:t>
      </w:r>
    </w:p>
    <w:p w14:paraId="5A3D546B" w14:textId="77777777" w:rsidR="001D0D17" w:rsidRDefault="001D0D17" w:rsidP="001D0D17"/>
    <w:p w14:paraId="7DDC734B" w14:textId="77777777" w:rsidR="001D0D17" w:rsidRDefault="001D0D17" w:rsidP="001D0D17">
      <w:pPr>
        <w:pStyle w:val="Heading3"/>
      </w:pPr>
      <w:r>
        <w:t>Institution Filters</w:t>
      </w:r>
    </w:p>
    <w:p w14:paraId="0D401011" w14:textId="77777777" w:rsidR="001D0D17" w:rsidRDefault="001D0D17" w:rsidP="001D0D17">
      <w:r>
        <w:t xml:space="preserve">In development, </w:t>
      </w:r>
      <w:r w:rsidR="00EC7D8D">
        <w:t xml:space="preserve">you have the choice to </w:t>
      </w:r>
      <w:r>
        <w:t xml:space="preserve">receive events from </w:t>
      </w:r>
      <w:r w:rsidR="00EC7D8D">
        <w:t xml:space="preserve">multiple </w:t>
      </w:r>
      <w:r>
        <w:t xml:space="preserve">publishers </w:t>
      </w:r>
      <w:r w:rsidR="00C265F5">
        <w:t xml:space="preserve">of the </w:t>
      </w:r>
      <w:r w:rsidR="00EC7D8D">
        <w:t xml:space="preserve">same event. This can aid during the development cycle to receive as many as events as possible. Please indicate if multiple publishers are preferred or if a select number is to be used.  If a select number, please indicate the publisher(s) name, ABA and Environment value.  If these are not known or available, Product Adoption can </w:t>
      </w:r>
      <w:r w:rsidR="00433CD3">
        <w:t>provide additional assistance</w:t>
      </w:r>
      <w:r w:rsidR="00EC7D8D">
        <w:t xml:space="preserve">. </w:t>
      </w:r>
    </w:p>
    <w:p w14:paraId="6DB50D8D" w14:textId="77777777" w:rsidR="00EC7D8D" w:rsidRDefault="00EC7D8D" w:rsidP="001D0D17"/>
    <w:p w14:paraId="55D5CEF6" w14:textId="77777777" w:rsidR="001D0D17" w:rsidRPr="00EB7269" w:rsidRDefault="001D0D17" w:rsidP="001D0D17">
      <w:pPr>
        <w:rPr>
          <w:b/>
          <w:sz w:val="18"/>
          <w:szCs w:val="18"/>
        </w:rPr>
      </w:pPr>
      <w:r w:rsidRPr="00EB7269">
        <w:rPr>
          <w:b/>
          <w:sz w:val="18"/>
          <w:szCs w:val="18"/>
        </w:rPr>
        <w:t xml:space="preserve">Note: In production it is recommended to only receive events for those publishers that your product has a relationship with for a given institution. </w:t>
      </w:r>
    </w:p>
    <w:p w14:paraId="06718D36" w14:textId="77777777" w:rsidR="001D0D17" w:rsidRDefault="001D0D17" w:rsidP="001D0D17"/>
    <w:p w14:paraId="4D42FBED" w14:textId="77777777" w:rsidR="001D0D17" w:rsidRDefault="001D0D17" w:rsidP="001D0D17">
      <w:pPr>
        <w:pStyle w:val="Heading3"/>
      </w:pPr>
      <w:r>
        <w:t>Event Filters</w:t>
      </w:r>
    </w:p>
    <w:p w14:paraId="1DC78C7D" w14:textId="2106FEF1" w:rsidR="001D0D17" w:rsidRDefault="001D0D17" w:rsidP="001D0D17">
      <w:r>
        <w:t xml:space="preserve">Using the table below, please list the event(s) your </w:t>
      </w:r>
      <w:r w:rsidR="00433CD3">
        <w:t>specific</w:t>
      </w:r>
      <w:r>
        <w:t xml:space="preserve"> product would like to filter on.  The master EES event list can be found at the </w:t>
      </w:r>
      <w:hyperlink r:id="rId8" w:history="1">
        <w:r w:rsidR="0036605D">
          <w:rPr>
            <w:rStyle w:val="Hyperlink"/>
          </w:rPr>
          <w:t>EES Developer Portal</w:t>
        </w:r>
      </w:hyperlink>
      <w:r>
        <w:t>.</w:t>
      </w:r>
      <w:r w:rsidR="0036605D">
        <w:t xml:space="preserve"> The list is available via Events by Category or Events by Publisher.</w:t>
      </w:r>
      <w:r>
        <w:t xml:space="preserve"> </w:t>
      </w:r>
    </w:p>
    <w:p w14:paraId="0B6565A4" w14:textId="77777777" w:rsidR="001D0D17" w:rsidRDefault="001D0D17" w:rsidP="001D0D17"/>
    <w:p w14:paraId="4BF8E9F8" w14:textId="77777777" w:rsidR="001D0D17" w:rsidRPr="004059FF" w:rsidRDefault="001D0D17" w:rsidP="001D0D17">
      <w:pPr>
        <w:rPr>
          <w:b/>
          <w:sz w:val="18"/>
          <w:szCs w:val="18"/>
        </w:rPr>
      </w:pPr>
      <w:r w:rsidRPr="004059FF">
        <w:rPr>
          <w:b/>
          <w:sz w:val="18"/>
          <w:szCs w:val="18"/>
        </w:rPr>
        <w:t xml:space="preserve">To add additional rows, place the cursor in the bottom right </w:t>
      </w:r>
      <w:r>
        <w:rPr>
          <w:b/>
          <w:sz w:val="18"/>
          <w:szCs w:val="18"/>
        </w:rPr>
        <w:t xml:space="preserve">table </w:t>
      </w:r>
      <w:r w:rsidRPr="004059FF">
        <w:rPr>
          <w:b/>
          <w:sz w:val="18"/>
          <w:szCs w:val="18"/>
        </w:rPr>
        <w:t>cell and press Tab on the keyboard.</w:t>
      </w:r>
    </w:p>
    <w:p w14:paraId="27349B13" w14:textId="77777777" w:rsidR="001D0D17" w:rsidRDefault="001D0D17" w:rsidP="001D0D17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492"/>
        <w:gridCol w:w="2903"/>
        <w:gridCol w:w="3870"/>
      </w:tblGrid>
      <w:tr w:rsidR="001D0D17" w14:paraId="056EBF90" w14:textId="77777777" w:rsidTr="0018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14:paraId="282DE26C" w14:textId="77777777" w:rsidR="001D0D17" w:rsidRDefault="001D0D17" w:rsidP="00184151">
            <w:r>
              <w:t>Event Number</w:t>
            </w:r>
          </w:p>
        </w:tc>
        <w:tc>
          <w:tcPr>
            <w:tcW w:w="2903" w:type="dxa"/>
          </w:tcPr>
          <w:p w14:paraId="03541DC2" w14:textId="77777777" w:rsidR="001D0D17" w:rsidRDefault="001D0D17" w:rsidP="00184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 Description</w:t>
            </w:r>
          </w:p>
        </w:tc>
        <w:tc>
          <w:tcPr>
            <w:tcW w:w="3870" w:type="dxa"/>
          </w:tcPr>
          <w:p w14:paraId="4D064AC1" w14:textId="77777777" w:rsidR="001D0D17" w:rsidRDefault="001D0D17" w:rsidP="001841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Publisher</w:t>
            </w:r>
          </w:p>
        </w:tc>
      </w:tr>
      <w:tr w:rsidR="001D0D17" w14:paraId="0A2BC863" w14:textId="77777777" w:rsidTr="001841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14:paraId="04B79B95" w14:textId="77777777" w:rsidR="001D0D17" w:rsidRDefault="001D0D17" w:rsidP="00184151"/>
        </w:tc>
        <w:tc>
          <w:tcPr>
            <w:tcW w:w="2903" w:type="dxa"/>
          </w:tcPr>
          <w:p w14:paraId="12D85350" w14:textId="77777777" w:rsidR="001D0D17" w:rsidRDefault="001D0D17" w:rsidP="00184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70" w:type="dxa"/>
          </w:tcPr>
          <w:p w14:paraId="1000CFAD" w14:textId="77777777" w:rsidR="001D0D17" w:rsidRDefault="001D0D17" w:rsidP="001841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0D17" w14:paraId="24476697" w14:textId="77777777" w:rsidTr="00184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2" w:type="dxa"/>
          </w:tcPr>
          <w:p w14:paraId="4CB33BB5" w14:textId="77777777" w:rsidR="001D0D17" w:rsidRDefault="001D0D17" w:rsidP="00184151"/>
        </w:tc>
        <w:tc>
          <w:tcPr>
            <w:tcW w:w="2903" w:type="dxa"/>
          </w:tcPr>
          <w:p w14:paraId="13065C02" w14:textId="77777777" w:rsidR="001D0D17" w:rsidRDefault="001D0D17" w:rsidP="00184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70" w:type="dxa"/>
          </w:tcPr>
          <w:p w14:paraId="7604769D" w14:textId="77777777" w:rsidR="001D0D17" w:rsidRDefault="001D0D17" w:rsidP="00184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376494" w14:textId="77777777" w:rsidR="001D0D17" w:rsidRPr="00693205" w:rsidRDefault="001D0D17" w:rsidP="001D0D17"/>
    <w:p w14:paraId="021A64AD" w14:textId="77777777" w:rsidR="001D0D17" w:rsidRDefault="001D0D17" w:rsidP="00A16BEE"/>
    <w:p w14:paraId="4994EB55" w14:textId="77777777" w:rsidR="001D0D17" w:rsidRDefault="001D0D17" w:rsidP="00A16BEE"/>
    <w:p w14:paraId="7114F558" w14:textId="77777777" w:rsidR="001D0D17" w:rsidRDefault="001D0D17">
      <w:pPr>
        <w:spacing w:after="160" w:line="259" w:lineRule="auto"/>
      </w:pPr>
      <w:r>
        <w:br w:type="page"/>
      </w:r>
    </w:p>
    <w:p w14:paraId="4C151D2A" w14:textId="77777777" w:rsidR="004A5727" w:rsidRDefault="004A5727" w:rsidP="00C44D2E">
      <w:pPr>
        <w:pStyle w:val="Heading1"/>
      </w:pPr>
      <w:r>
        <w:lastRenderedPageBreak/>
        <w:t>Additional EES Filter Information</w:t>
      </w:r>
      <w:r>
        <w:br/>
      </w:r>
    </w:p>
    <w:tbl>
      <w:tblPr>
        <w:tblStyle w:val="GridTable4-Accent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D0744A" w14:paraId="4029339D" w14:textId="77777777" w:rsidTr="00D07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610CB92F" w14:textId="77777777" w:rsidR="00D0744A" w:rsidRDefault="00D0744A" w:rsidP="005A02D7">
            <w:r>
              <w:t>Condition</w:t>
            </w:r>
          </w:p>
        </w:tc>
      </w:tr>
      <w:tr w:rsidR="00D0744A" w14:paraId="36298819" w14:textId="77777777" w:rsidTr="00D074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07ADEB53" w14:textId="77777777" w:rsidR="00D0744A" w:rsidRDefault="00D0744A" w:rsidP="005A02D7"/>
        </w:tc>
      </w:tr>
      <w:tr w:rsidR="00D0744A" w14:paraId="0F102C4E" w14:textId="77777777" w:rsidTr="00D074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725702B7" w14:textId="77777777" w:rsidR="00D0744A" w:rsidRDefault="00D0744A" w:rsidP="005A02D7"/>
        </w:tc>
      </w:tr>
    </w:tbl>
    <w:p w14:paraId="7A806FB1" w14:textId="77777777" w:rsidR="00D0744A" w:rsidRPr="00D0744A" w:rsidRDefault="00D0744A" w:rsidP="00D0744A"/>
    <w:p w14:paraId="2C49E4D2" w14:textId="77777777" w:rsidR="00C87C13" w:rsidRPr="004A5727" w:rsidRDefault="00C87C13" w:rsidP="004A5727"/>
    <w:p w14:paraId="29DC0829" w14:textId="77777777" w:rsidR="00C44D2E" w:rsidRDefault="00C44D2E" w:rsidP="00C44D2E">
      <w:pPr>
        <w:pStyle w:val="Heading1"/>
      </w:pPr>
      <w:r>
        <w:t>PUSH Subscribers Only</w:t>
      </w:r>
    </w:p>
    <w:p w14:paraId="7931C563" w14:textId="77777777" w:rsidR="00C44D2E" w:rsidRDefault="00C44D2E" w:rsidP="00A16BEE"/>
    <w:p w14:paraId="056E6586" w14:textId="5E1F8EFD" w:rsidR="00C44D2E" w:rsidRDefault="00C44D2E" w:rsidP="00A16BEE">
      <w:r>
        <w:t xml:space="preserve">If your product is developing a service that EES events will proactively push events to you, you must meet the Provider tenets and requirements defined by the Enterprise Architecture Group and </w:t>
      </w:r>
      <w:r w:rsidR="005E0272">
        <w:t>EI&amp;S.</w:t>
      </w:r>
      <w:r>
        <w:t xml:space="preserve">  </w:t>
      </w:r>
      <w:r w:rsidR="00CF2186">
        <w:t xml:space="preserve"> </w:t>
      </w:r>
    </w:p>
    <w:p w14:paraId="77397136" w14:textId="77777777" w:rsidR="00C44D2E" w:rsidRDefault="00C44D2E" w:rsidP="00A16BEE"/>
    <w:p w14:paraId="71B912E9" w14:textId="77777777" w:rsidR="00A16BEE" w:rsidRDefault="00E45374" w:rsidP="00A16BEE">
      <w:r>
        <w:t>As a PUSH provider, specific information must be known concerning your products service and intended delivery expectation.  With that in mind, p</w:t>
      </w:r>
      <w:r w:rsidR="00A16BEE">
        <w:t xml:space="preserve">lease fill </w:t>
      </w:r>
      <w:r w:rsidR="001D0D17">
        <w:t xml:space="preserve">out </w:t>
      </w:r>
      <w:r w:rsidR="00A16BEE">
        <w:t xml:space="preserve">the table </w:t>
      </w:r>
      <w:r w:rsidR="00693205">
        <w:t>for both the Internal and</w:t>
      </w:r>
      <w:r w:rsidR="004059FF">
        <w:t xml:space="preserve"> Production Values</w:t>
      </w:r>
      <w:r w:rsidR="00A16BEE">
        <w:t xml:space="preserve">.  </w:t>
      </w:r>
    </w:p>
    <w:p w14:paraId="7C02A0F5" w14:textId="77777777" w:rsidR="005E0272" w:rsidRDefault="005E0272" w:rsidP="00A16BEE"/>
    <w:p w14:paraId="0CA8D08E" w14:textId="784BEB3E" w:rsidR="005E0272" w:rsidRDefault="005E0272" w:rsidP="00A16BEE">
      <w:r>
        <w:t>EES requires a username and password to be enforced on your endpoint. The system will not accept anonymous or open endpoints.</w:t>
      </w:r>
    </w:p>
    <w:p w14:paraId="64175CDE" w14:textId="77777777" w:rsidR="00E46630" w:rsidRDefault="00E46630" w:rsidP="00A16BEE"/>
    <w:p w14:paraId="6F52A3F6" w14:textId="573FE505" w:rsidR="00E46630" w:rsidRDefault="005E0272" w:rsidP="00A16BEE">
      <w:r>
        <w:t>Please use</w:t>
      </w:r>
      <w:r w:rsidR="00E46630">
        <w:t xml:space="preserve"> </w:t>
      </w:r>
      <w:proofErr w:type="spellStart"/>
      <w:r w:rsidR="00E46630" w:rsidRPr="005E0272">
        <w:rPr>
          <w:b/>
          <w:bCs/>
        </w:rPr>
        <w:t>basicHttp</w:t>
      </w:r>
      <w:proofErr w:type="spellEnd"/>
      <w:r w:rsidR="00E46630" w:rsidRPr="005E0272">
        <w:rPr>
          <w:b/>
          <w:bCs/>
        </w:rPr>
        <w:t xml:space="preserve"> </w:t>
      </w:r>
      <w:r w:rsidR="00E46630">
        <w:t>over SSL</w:t>
      </w:r>
      <w:r>
        <w:t xml:space="preserve"> for your binding</w:t>
      </w:r>
      <w:r w:rsidR="00E46630">
        <w:t xml:space="preserve">. </w:t>
      </w:r>
    </w:p>
    <w:p w14:paraId="5069031C" w14:textId="77777777" w:rsidR="00A16BEE" w:rsidRDefault="00A16BEE" w:rsidP="00A16BE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2"/>
        <w:gridCol w:w="2688"/>
        <w:gridCol w:w="2870"/>
      </w:tblGrid>
      <w:tr w:rsidR="00A16BEE" w:rsidRPr="00A16BEE" w14:paraId="16D97353" w14:textId="77777777" w:rsidTr="004C7CB9">
        <w:tc>
          <w:tcPr>
            <w:tcW w:w="378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934FE" w14:textId="77777777" w:rsidR="00A16BEE" w:rsidRPr="00A16BEE" w:rsidRDefault="00A16BEE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A16BEE">
              <w:rPr>
                <w:b/>
                <w:bCs/>
                <w:color w:val="FFFFFF"/>
                <w:sz w:val="20"/>
                <w:szCs w:val="20"/>
              </w:rPr>
              <w:t>EES Subscription Setting</w:t>
            </w:r>
          </w:p>
        </w:tc>
        <w:tc>
          <w:tcPr>
            <w:tcW w:w="2688" w:type="dxa"/>
            <w:tcBorders>
              <w:top w:val="single" w:sz="8" w:space="0" w:color="5B9BD5"/>
              <w:left w:val="nil"/>
              <w:bottom w:val="single" w:sz="8" w:space="0" w:color="5B9BD5"/>
              <w:right w:val="nil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2DCB9" w14:textId="77777777" w:rsidR="00A16BEE" w:rsidRPr="00A16BEE" w:rsidRDefault="00A16BE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16BEE">
              <w:rPr>
                <w:b/>
                <w:bCs/>
                <w:color w:val="FFFFFF"/>
                <w:sz w:val="20"/>
                <w:szCs w:val="20"/>
              </w:rPr>
              <w:t>Internal Development Values</w:t>
            </w:r>
          </w:p>
        </w:tc>
        <w:tc>
          <w:tcPr>
            <w:tcW w:w="2870" w:type="dxa"/>
            <w:tcBorders>
              <w:top w:val="single" w:sz="8" w:space="0" w:color="5B9BD5"/>
              <w:left w:val="nil"/>
              <w:bottom w:val="single" w:sz="8" w:space="0" w:color="5B9BD5"/>
              <w:right w:val="single" w:sz="8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86FD" w14:textId="77777777" w:rsidR="00A16BEE" w:rsidRPr="00A16BEE" w:rsidRDefault="00A16BEE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A16BEE">
              <w:rPr>
                <w:b/>
                <w:bCs/>
                <w:color w:val="FFFFFF"/>
                <w:sz w:val="20"/>
                <w:szCs w:val="20"/>
              </w:rPr>
              <w:t>Production Value</w:t>
            </w:r>
          </w:p>
        </w:tc>
      </w:tr>
      <w:tr w:rsidR="00C7448F" w:rsidRPr="00A16BEE" w14:paraId="67D01745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01B5" w14:textId="77777777" w:rsidR="00C7448F" w:rsidRPr="00A16BEE" w:rsidRDefault="00C744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Service </w:t>
            </w:r>
            <w:r w:rsidR="00366084">
              <w:rPr>
                <w:b/>
                <w:bCs/>
                <w:sz w:val="20"/>
                <w:szCs w:val="20"/>
              </w:rPr>
              <w:t xml:space="preserve">Endpoint </w:t>
            </w:r>
            <w:r>
              <w:rPr>
                <w:b/>
                <w:bCs/>
                <w:sz w:val="20"/>
                <w:szCs w:val="20"/>
              </w:rPr>
              <w:t>Binding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4C53" w14:textId="77777777" w:rsidR="00C7448F" w:rsidRPr="00A16BEE" w:rsidRDefault="00C7448F" w:rsidP="00C744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089C" w14:textId="77777777" w:rsidR="00C7448F" w:rsidRPr="00A16BEE" w:rsidRDefault="00C7448F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16C4FF4D" w14:textId="77777777" w:rsidTr="00C7448F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A0A9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Maximum Entries per cycle</w:t>
            </w:r>
            <w:r w:rsidRPr="00A16BEE">
              <w:rPr>
                <w:b/>
                <w:bCs/>
                <w:sz w:val="20"/>
                <w:szCs w:val="20"/>
              </w:rPr>
              <w:br/>
            </w:r>
            <w:r w:rsidRPr="00A16BEE">
              <w:rPr>
                <w:sz w:val="20"/>
                <w:szCs w:val="20"/>
              </w:rPr>
              <w:t xml:space="preserve">(The number of events included in a single </w:t>
            </w:r>
            <w:r w:rsidRPr="004059FF">
              <w:rPr>
                <w:i/>
                <w:sz w:val="20"/>
                <w:szCs w:val="20"/>
              </w:rPr>
              <w:t>EESEventAdd</w:t>
            </w:r>
            <w:r w:rsidRPr="00A16BEE">
              <w:rPr>
                <w:sz w:val="20"/>
                <w:szCs w:val="20"/>
              </w:rPr>
              <w:t xml:space="preserve"> message)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55122" w14:textId="0323003D" w:rsidR="00A16BEE" w:rsidRPr="00A16BEE" w:rsidRDefault="005E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 recommends 100 or greater.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641BF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6B2B5B22" w14:textId="77777777" w:rsidTr="00C7448F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E851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Escalation Delay Time (minutes)</w:t>
            </w:r>
            <w:r w:rsidRPr="00A16BEE">
              <w:rPr>
                <w:b/>
                <w:bCs/>
                <w:sz w:val="20"/>
                <w:szCs w:val="20"/>
              </w:rPr>
              <w:br/>
            </w:r>
            <w:r w:rsidRPr="00A16BEE">
              <w:rPr>
                <w:sz w:val="20"/>
                <w:szCs w:val="20"/>
              </w:rPr>
              <w:t>(The wait duration until next push if an attempt fails.)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73FDF" w14:textId="333F9666" w:rsidR="00A16BEE" w:rsidRPr="00A16BEE" w:rsidRDefault="005E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 recommends 1 minute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1CAF" w14:textId="4A25C72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4C7CB9" w:rsidRPr="00A16BEE" w14:paraId="2BE0E0A3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42753" w14:textId="77777777" w:rsidR="004C7CB9" w:rsidRPr="004C7CB9" w:rsidRDefault="004C7CB9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EES Push Interval </w:t>
            </w:r>
            <w:r>
              <w:rPr>
                <w:bCs/>
                <w:sz w:val="20"/>
                <w:szCs w:val="20"/>
              </w:rPr>
              <w:br/>
              <w:t>(Current minimum is 1 minute)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A4A6" w14:textId="73E03650" w:rsidR="004C7CB9" w:rsidRPr="00A16BEE" w:rsidRDefault="005E0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 recommends 1 minute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33C5" w14:textId="77777777" w:rsidR="004C7CB9" w:rsidRPr="00A16BEE" w:rsidRDefault="004C7CB9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32437A31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69F69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E62F4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DC05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271A4D66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3837D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Endpoint FQDN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3C82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28DC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432A3C03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14DA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BE05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AA2F4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5F44A36B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D22F8" w14:textId="5CEEA466" w:rsidR="00A16BEE" w:rsidRPr="005E0272" w:rsidRDefault="00A16BEE">
            <w:pPr>
              <w:rPr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Username / Password</w:t>
            </w:r>
            <w:r w:rsidR="005E0272">
              <w:rPr>
                <w:b/>
                <w:bCs/>
                <w:sz w:val="20"/>
                <w:szCs w:val="20"/>
              </w:rPr>
              <w:t xml:space="preserve"> </w:t>
            </w:r>
            <w:r w:rsidR="005E0272">
              <w:rPr>
                <w:sz w:val="20"/>
                <w:szCs w:val="20"/>
              </w:rPr>
              <w:t>(required)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62CE" w14:textId="0E04E0E0" w:rsidR="00A16BEE" w:rsidRPr="00A16BEE" w:rsidRDefault="004C7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to </w:t>
            </w:r>
            <w:r w:rsidR="005E0272">
              <w:rPr>
                <w:sz w:val="20"/>
                <w:szCs w:val="20"/>
              </w:rPr>
              <w:t>Developer Relations when submitting form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24316" w14:textId="108613A2" w:rsidR="00A16BEE" w:rsidRPr="005E0272" w:rsidRDefault="005E0272">
            <w:pPr>
              <w:jc w:val="center"/>
              <w:rPr>
                <w:sz w:val="20"/>
                <w:szCs w:val="20"/>
              </w:rPr>
            </w:pPr>
            <w:r w:rsidRPr="005E0272">
              <w:rPr>
                <w:sz w:val="20"/>
                <w:szCs w:val="20"/>
              </w:rPr>
              <w:t xml:space="preserve">Provide to Implementations Team </w:t>
            </w:r>
            <w:r>
              <w:rPr>
                <w:sz w:val="20"/>
                <w:szCs w:val="20"/>
              </w:rPr>
              <w:t>during bank environment implementation</w:t>
            </w:r>
          </w:p>
        </w:tc>
      </w:tr>
      <w:tr w:rsidR="00A16BEE" w:rsidRPr="00A16BEE" w14:paraId="4EC1CF08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2699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968B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3FF8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6B8561D9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039BF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Max Received Message Size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5E67" w14:textId="3D59E463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685BC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6E411EDF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7B8E4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Max Buffer Size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CF4CA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7F439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7C9750F4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4DFE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Max Buffer Pool Size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EE236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22C2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6CF6C439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90BC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4BF3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5FFB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3132CCA9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2A6B5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Open Timeout</w:t>
            </w:r>
            <w:r w:rsidRPr="00A16BEE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24C17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DC23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29DC8F82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22DBD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Close Timeout</w:t>
            </w:r>
            <w:r w:rsidRPr="00A16BEE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163EE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8B1B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442ECB7D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3C15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Send Timeout</w:t>
            </w:r>
            <w:r w:rsidRPr="00A16BEE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9A8B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80B7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08E9421C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6089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57B7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C931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385C5DC9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9CF76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lastRenderedPageBreak/>
              <w:t>Max Array Length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D0E9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35BF9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4A265E72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CB4D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Bytes Per Read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164D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4CD6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288814C4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17CD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Max Depth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EBE4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4A32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013FF234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6A50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Max Name Table Character Count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840FF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70D9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  <w:tr w:rsidR="00A16BEE" w:rsidRPr="00A16BEE" w14:paraId="161B5495" w14:textId="77777777" w:rsidTr="004C7CB9">
        <w:tc>
          <w:tcPr>
            <w:tcW w:w="37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5F4E" w14:textId="77777777" w:rsidR="00A16BEE" w:rsidRPr="00A16BEE" w:rsidRDefault="00A16BEE">
            <w:pPr>
              <w:rPr>
                <w:b/>
                <w:bCs/>
                <w:sz w:val="20"/>
                <w:szCs w:val="20"/>
              </w:rPr>
            </w:pPr>
            <w:r w:rsidRPr="00A16BEE">
              <w:rPr>
                <w:b/>
                <w:bCs/>
                <w:sz w:val="20"/>
                <w:szCs w:val="20"/>
              </w:rPr>
              <w:t>Max String Content Length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3F677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16B8" w14:textId="77777777" w:rsidR="00A16BEE" w:rsidRPr="00A16BEE" w:rsidRDefault="00A16B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889366" w14:textId="77777777" w:rsidR="00A16BEE" w:rsidRDefault="00A16BEE" w:rsidP="00A16BEE"/>
    <w:p w14:paraId="5F8B7D87" w14:textId="77777777" w:rsidR="00A16BEE" w:rsidRPr="005E0272" w:rsidRDefault="00A16BEE" w:rsidP="005E0272">
      <w:pPr>
        <w:pStyle w:val="Heading3"/>
      </w:pPr>
      <w:r w:rsidRPr="005E0272">
        <w:t>Elements of the Timeout Settings:</w:t>
      </w:r>
    </w:p>
    <w:p w14:paraId="32262C2B" w14:textId="77777777" w:rsidR="005E0272" w:rsidRDefault="005E0272" w:rsidP="005E0272">
      <w:pPr>
        <w:rPr>
          <w:rFonts w:asciiTheme="minorHAnsi" w:hAnsiTheme="minorHAnsi"/>
          <w:b/>
          <w:bCs/>
        </w:rPr>
      </w:pPr>
    </w:p>
    <w:p w14:paraId="055B9D35" w14:textId="1A866D92" w:rsidR="00A16BEE" w:rsidRPr="005E0272" w:rsidRDefault="00A16BEE" w:rsidP="005E0272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5E0272">
        <w:rPr>
          <w:rFonts w:asciiTheme="minorHAnsi" w:hAnsiTheme="minorHAnsi"/>
          <w:b/>
          <w:bCs/>
        </w:rPr>
        <w:t>Open Timeout</w:t>
      </w:r>
      <w:r w:rsidRPr="005E0272">
        <w:rPr>
          <w:rFonts w:asciiTheme="minorHAnsi" w:hAnsiTheme="minorHAnsi"/>
        </w:rPr>
        <w:t xml:space="preserve"> – used when opening channels when no explicit timeout value is specified</w:t>
      </w:r>
    </w:p>
    <w:p w14:paraId="26AAA2B8" w14:textId="77777777" w:rsidR="00A16BEE" w:rsidRPr="005E0272" w:rsidRDefault="00A16BEE" w:rsidP="005E0272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5E0272">
        <w:rPr>
          <w:rFonts w:asciiTheme="minorHAnsi" w:hAnsiTheme="minorHAnsi"/>
          <w:b/>
          <w:bCs/>
        </w:rPr>
        <w:t>Close Timeout</w:t>
      </w:r>
      <w:r w:rsidRPr="005E0272">
        <w:rPr>
          <w:rFonts w:asciiTheme="minorHAnsi" w:hAnsiTheme="minorHAnsi"/>
        </w:rPr>
        <w:t xml:space="preserve"> – used when closing channels when no explicit timeout value is specified</w:t>
      </w:r>
    </w:p>
    <w:p w14:paraId="7B31239D" w14:textId="092422CC" w:rsidR="004059FF" w:rsidRPr="005E0272" w:rsidRDefault="00A16BEE" w:rsidP="005E0272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5E0272">
        <w:rPr>
          <w:rFonts w:asciiTheme="minorHAnsi" w:hAnsiTheme="minorHAnsi"/>
          <w:b/>
          <w:bCs/>
        </w:rPr>
        <w:t>Send Timeout</w:t>
      </w:r>
      <w:r w:rsidRPr="005E0272">
        <w:rPr>
          <w:rFonts w:asciiTheme="minorHAnsi" w:hAnsiTheme="minorHAnsi"/>
        </w:rPr>
        <w:t xml:space="preserve"> – used to initialize the Operation Timeout, which governs the whole process of sending a message, including receiving a reply message for request/reply service operation. This timeout also applies when sending </w:t>
      </w:r>
      <w:r w:rsidR="005E0272" w:rsidRPr="005E0272">
        <w:rPr>
          <w:rFonts w:asciiTheme="minorHAnsi" w:hAnsiTheme="minorHAnsi"/>
        </w:rPr>
        <w:t>replies to</w:t>
      </w:r>
      <w:r w:rsidRPr="005E0272">
        <w:rPr>
          <w:rFonts w:asciiTheme="minorHAnsi" w:hAnsiTheme="minorHAnsi"/>
        </w:rPr>
        <w:t xml:space="preserve"> messages from a callback contract method.</w:t>
      </w:r>
    </w:p>
    <w:sectPr w:rsidR="004059FF" w:rsidRPr="005E0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657F"/>
    <w:multiLevelType w:val="hybridMultilevel"/>
    <w:tmpl w:val="27A2D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ED7406"/>
    <w:multiLevelType w:val="hybridMultilevel"/>
    <w:tmpl w:val="C35E90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12550"/>
    <w:multiLevelType w:val="hybridMultilevel"/>
    <w:tmpl w:val="4EF8F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534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957387">
    <w:abstractNumId w:val="1"/>
  </w:num>
  <w:num w:numId="3" w16cid:durableId="1224875758">
    <w:abstractNumId w:val="0"/>
  </w:num>
  <w:num w:numId="4" w16cid:durableId="127455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EE"/>
    <w:rsid w:val="000D3DAF"/>
    <w:rsid w:val="00124F9B"/>
    <w:rsid w:val="001C19BB"/>
    <w:rsid w:val="001D0D17"/>
    <w:rsid w:val="0036605D"/>
    <w:rsid w:val="00366084"/>
    <w:rsid w:val="00386DC9"/>
    <w:rsid w:val="004059FF"/>
    <w:rsid w:val="00433CD3"/>
    <w:rsid w:val="004A5727"/>
    <w:rsid w:val="004C7CB9"/>
    <w:rsid w:val="005658A5"/>
    <w:rsid w:val="005E0272"/>
    <w:rsid w:val="00693205"/>
    <w:rsid w:val="00707235"/>
    <w:rsid w:val="0094343B"/>
    <w:rsid w:val="00A16BEE"/>
    <w:rsid w:val="00A2695F"/>
    <w:rsid w:val="00C265F5"/>
    <w:rsid w:val="00C44D2E"/>
    <w:rsid w:val="00C7448F"/>
    <w:rsid w:val="00C87C13"/>
    <w:rsid w:val="00CD3632"/>
    <w:rsid w:val="00CF2186"/>
    <w:rsid w:val="00D0744A"/>
    <w:rsid w:val="00DB7631"/>
    <w:rsid w:val="00E1070C"/>
    <w:rsid w:val="00E45374"/>
    <w:rsid w:val="00E46630"/>
    <w:rsid w:val="00EB7269"/>
    <w:rsid w:val="00EC7D8D"/>
    <w:rsid w:val="00F406A3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287CF"/>
  <w15:chartTrackingRefBased/>
  <w15:docId w15:val="{09A145E1-817D-43CA-9270-B4C419CA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BE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2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9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EE"/>
    <w:pPr>
      <w:ind w:left="720"/>
      <w:contextualSpacing/>
    </w:pPr>
    <w:rPr>
      <w:rFonts w:ascii="Verdana" w:hAnsi="Verdana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6B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932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05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059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dTable4-Accent1">
    <w:name w:val="Grid Table 4 Accent 1"/>
    <w:basedOn w:val="TableNormal"/>
    <w:uiPriority w:val="49"/>
    <w:rsid w:val="004059F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059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9F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44D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5Dark-Accent1">
    <w:name w:val="Grid Table 5 Dark Accent 1"/>
    <w:basedOn w:val="TableNormal"/>
    <w:uiPriority w:val="50"/>
    <w:rsid w:val="00E107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ckhenry.dev/e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7DF1E8BD8FD4DBEF4886CFD5BF78F" ma:contentTypeVersion="6" ma:contentTypeDescription="Create a new document." ma:contentTypeScope="" ma:versionID="5b24b901e5689fad2222bd865a6455da">
  <xsd:schema xmlns:xsd="http://www.w3.org/2001/XMLSchema" xmlns:xs="http://www.w3.org/2001/XMLSchema" xmlns:p="http://schemas.microsoft.com/office/2006/metadata/properties" xmlns:ns2="8c1d2533-f68f-4d80-83c7-d9428482f12a" targetNamespace="http://schemas.microsoft.com/office/2006/metadata/properties" ma:root="true" ma:fieldsID="1abde13747ee70cf8819f05057101cee" ns2:_="">
    <xsd:import namespace="8c1d2533-f68f-4d80-83c7-d9428482f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2533-f68f-4d80-83c7-d9428482f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473D-7334-423C-881C-89A6C61D6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E4A7-9FCD-44AE-9445-DDA69E797B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C5CFFC-702E-40D2-878A-063334719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2533-f68f-4d80-83c7-d9428482f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 Henry &amp; Associates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Gaines</dc:creator>
  <cp:keywords/>
  <dc:description/>
  <cp:lastModifiedBy>John Martin</cp:lastModifiedBy>
  <cp:revision>3</cp:revision>
  <dcterms:created xsi:type="dcterms:W3CDTF">2025-08-08T13:42:00Z</dcterms:created>
  <dcterms:modified xsi:type="dcterms:W3CDTF">2025-08-08T14:00:00Z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0x01010051E7DF1E8BD8FD4DBEF4886CFD5BF78F</vt:lpwstr>
  </property>
</Properties>
</file>